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bidiVisual/>
        <w:tblW w:w="5000" w:type="pct"/>
        <w:tblLook w:val="04A0" w:firstRow="1" w:lastRow="0" w:firstColumn="1" w:lastColumn="0" w:noHBand="0" w:noVBand="1"/>
      </w:tblPr>
      <w:tblGrid>
        <w:gridCol w:w="7741"/>
        <w:gridCol w:w="1619"/>
      </w:tblGrid>
      <w:tr w:rsidR="0015091A" w:rsidRPr="00CB2C73" w:rsidTr="004851C2">
        <w:tc>
          <w:tcPr>
            <w:tcW w:w="4135" w:type="pct"/>
            <w:shd w:val="clear" w:color="auto" w:fill="auto"/>
          </w:tcPr>
          <w:p w:rsidR="0015091A" w:rsidRPr="003848EB" w:rsidRDefault="0015091A" w:rsidP="004851C2">
            <w:pPr>
              <w:bidi/>
              <w:mirrorIndents/>
              <w:jc w:val="lowKashida"/>
              <w:rPr>
                <w:rFonts w:cs="B Nazanin"/>
                <w:b/>
                <w:bCs/>
                <w:sz w:val="18"/>
                <w:rtl/>
              </w:rPr>
            </w:pPr>
            <w:r w:rsidRPr="003848EB">
              <w:rPr>
                <w:rFonts w:cs="B Nazanin" w:hint="cs"/>
                <w:b/>
                <w:bCs/>
                <w:sz w:val="18"/>
                <w:rtl/>
              </w:rPr>
              <w:t>چکیده</w:t>
            </w:r>
          </w:p>
        </w:tc>
        <w:tc>
          <w:tcPr>
            <w:tcW w:w="865" w:type="pct"/>
            <w:shd w:val="clear" w:color="auto" w:fill="auto"/>
          </w:tcPr>
          <w:p w:rsidR="0015091A" w:rsidRPr="00CB2C73" w:rsidRDefault="0015091A" w:rsidP="004851C2">
            <w:pPr>
              <w:bidi/>
              <w:mirrorIndents/>
              <w:jc w:val="lowKashida"/>
              <w:rPr>
                <w:rFonts w:cs="B Nazanin"/>
                <w:b/>
                <w:bCs/>
                <w:sz w:val="18"/>
                <w:rtl/>
              </w:rPr>
            </w:pPr>
            <w:r w:rsidRPr="00CB2C73">
              <w:rPr>
                <w:rFonts w:cs="B Nazanin" w:hint="cs"/>
                <w:b/>
                <w:bCs/>
                <w:sz w:val="18"/>
                <w:rtl/>
              </w:rPr>
              <w:t>کلمات کلیدی</w:t>
            </w:r>
          </w:p>
        </w:tc>
      </w:tr>
      <w:tr w:rsidR="0015091A" w:rsidRPr="00CB2C73" w:rsidTr="004851C2">
        <w:tc>
          <w:tcPr>
            <w:tcW w:w="4135" w:type="pct"/>
            <w:shd w:val="clear" w:color="auto" w:fill="auto"/>
          </w:tcPr>
          <w:p w:rsidR="0015091A" w:rsidRPr="00B6465E" w:rsidRDefault="0015091A" w:rsidP="004851C2">
            <w:pPr>
              <w:bidi/>
              <w:mirrorIndents/>
              <w:jc w:val="both"/>
              <w:rPr>
                <w:rFonts w:cs="B Nazanin"/>
                <w:sz w:val="18"/>
              </w:rPr>
            </w:pPr>
            <w:r w:rsidRPr="00B6465E">
              <w:rPr>
                <w:rFonts w:cs="B Nazanin" w:hint="cs"/>
                <w:sz w:val="18"/>
                <w:rtl/>
              </w:rPr>
              <w:t>زون 5  قسمتی از بلوك 3 معدن پروده طبس است که این بلوک بخشی از منطقه پروده شرقی از مناطق پنج</w:t>
            </w:r>
            <w:r w:rsidRPr="00B6465E">
              <w:rPr>
                <w:rFonts w:cs="B Nazanin"/>
                <w:sz w:val="18"/>
                <w:rtl/>
              </w:rPr>
              <w:softHyphen/>
            </w:r>
            <w:r w:rsidRPr="00B6465E">
              <w:rPr>
                <w:rFonts w:cs="B Nazanin" w:hint="cs"/>
                <w:sz w:val="18"/>
                <w:rtl/>
              </w:rPr>
              <w:t>گانه ناحیه پروده (</w:t>
            </w:r>
            <w:r w:rsidRPr="00B6465E">
              <w:rPr>
                <w:rFonts w:cs="B Nazanin"/>
                <w:sz w:val="18"/>
              </w:rPr>
              <w:t>IV , III , II , I</w:t>
            </w:r>
            <w:r w:rsidRPr="00B6465E">
              <w:rPr>
                <w:rFonts w:cs="B Nazanin" w:hint="cs"/>
                <w:sz w:val="18"/>
                <w:rtl/>
              </w:rPr>
              <w:t xml:space="preserve"> و پروده شرقي) از حوضه زغال</w:t>
            </w:r>
            <w:r w:rsidRPr="00B6465E">
              <w:rPr>
                <w:rFonts w:cs="B Nazanin"/>
                <w:sz w:val="18"/>
                <w:rtl/>
              </w:rPr>
              <w:softHyphen/>
            </w:r>
            <w:r w:rsidRPr="00B6465E">
              <w:rPr>
                <w:rFonts w:cs="B Nazanin" w:hint="cs"/>
                <w:sz w:val="18"/>
                <w:rtl/>
              </w:rPr>
              <w:t>دار طبس وابسته به حوضه زغال</w:t>
            </w:r>
            <w:r w:rsidRPr="00B6465E">
              <w:rPr>
                <w:rFonts w:cs="B Nazanin"/>
                <w:sz w:val="18"/>
                <w:rtl/>
              </w:rPr>
              <w:softHyphen/>
            </w:r>
            <w:r w:rsidRPr="00B6465E">
              <w:rPr>
                <w:rFonts w:cs="B Nazanin" w:hint="cs"/>
                <w:sz w:val="18"/>
                <w:rtl/>
              </w:rPr>
              <w:t xml:space="preserve">دار ایران مرکزی است. اين محدوده در قسمت شرق ايران مركزي، جنوب استان خراسان، شرق استان يزد و سمنان و شمال استان كرمان و در حاشيه شمال غرب كوير لوت قرار گرفته است. اين محدوده در جنوب شرقي شهرستان طبس واقع است. طراحی سیستم </w:t>
            </w:r>
            <w:r w:rsidRPr="00B6465E">
              <w:rPr>
                <w:rFonts w:cs="B Nazanin" w:hint="cs"/>
                <w:sz w:val="18"/>
                <w:rtl/>
                <w:lang w:bidi="fa-IR"/>
              </w:rPr>
              <w:t>تهویه معدن پروده طبس (بلوک</w:t>
            </w:r>
            <w:bookmarkStart w:id="0" w:name="_GoBack"/>
            <w:bookmarkEnd w:id="0"/>
            <w:r w:rsidRPr="00B6465E">
              <w:rPr>
                <w:rFonts w:cs="B Nazanin" w:hint="cs"/>
                <w:sz w:val="18"/>
                <w:rtl/>
                <w:lang w:bidi="fa-IR"/>
              </w:rPr>
              <w:t xml:space="preserve"> 3 زون 5) بر اساس برنامه ریزی فعالیت</w:t>
            </w:r>
            <w:r w:rsidRPr="00B6465E">
              <w:rPr>
                <w:rFonts w:cs="B Nazanin" w:hint="cs"/>
                <w:sz w:val="18"/>
                <w:rtl/>
                <w:lang w:bidi="fa-IR"/>
              </w:rPr>
              <w:softHyphen/>
              <w:t>های آماده</w:t>
            </w:r>
            <w:r w:rsidRPr="00B6465E">
              <w:rPr>
                <w:rFonts w:cs="B Nazanin" w:hint="cs"/>
                <w:sz w:val="18"/>
                <w:rtl/>
                <w:lang w:bidi="fa-IR"/>
              </w:rPr>
              <w:softHyphen/>
              <w:t xml:space="preserve"> سازی و تولید و همچنین نقشه شبکه عمومی معدن صورت گرفت.</w:t>
            </w:r>
            <w:r w:rsidRPr="00B6465E">
              <w:rPr>
                <w:rFonts w:cs="B Nazanin"/>
                <w:sz w:val="18"/>
              </w:rPr>
              <w:t xml:space="preserve"> </w:t>
            </w:r>
            <w:r w:rsidRPr="00B6465E">
              <w:rPr>
                <w:rFonts w:cs="B Nazanin" w:hint="cs"/>
                <w:sz w:val="18"/>
                <w:rtl/>
                <w:lang w:bidi="fa-IR"/>
              </w:rPr>
              <w:t>بر این اساس مشخص شد بیشترین طول دسترسی</w:t>
            </w:r>
            <w:r w:rsidRPr="00B6465E">
              <w:rPr>
                <w:rFonts w:cs="B Nazanin" w:hint="cs"/>
                <w:sz w:val="18"/>
                <w:rtl/>
                <w:lang w:bidi="fa-IR"/>
              </w:rPr>
              <w:softHyphen/>
              <w:t>های افقی مربوط به طبقه اول و بیشترین طول ارتباطی</w:t>
            </w:r>
            <w:r w:rsidRPr="00B6465E">
              <w:rPr>
                <w:rFonts w:cs="B Nazanin" w:hint="cs"/>
                <w:sz w:val="18"/>
                <w:rtl/>
                <w:lang w:bidi="fa-IR"/>
              </w:rPr>
              <w:softHyphen/>
              <w:t>های بین اکلون و دنباله لایه، مربوط به طبقه هفتم است لذا محاسبات شبکه تهویه بر اساس این دو طبقه انجام شد. بیشترین شدت جریان هوای لازم در طول عمر معدن معادل 32 متر مکعب بر ثانیه و بیشترین افت فشار در شبکه تهویه معدن معادل 113 میلی متر آب محاسبه شد. در مرحله بعدی با توجه به شدت جریان و افت فشار بدست آمده برای شاخه</w:t>
            </w:r>
            <w:r w:rsidRPr="00B6465E">
              <w:rPr>
                <w:rFonts w:cs="B Nazanin" w:hint="cs"/>
                <w:sz w:val="18"/>
                <w:rtl/>
                <w:lang w:bidi="fa-IR"/>
              </w:rPr>
              <w:softHyphen/>
              <w:t>های مختلف و کل شبکه، بادبزن</w:t>
            </w:r>
            <w:r w:rsidRPr="00B6465E">
              <w:rPr>
                <w:rFonts w:cs="B Nazanin" w:hint="cs"/>
                <w:sz w:val="18"/>
                <w:rtl/>
                <w:lang w:bidi="fa-IR"/>
              </w:rPr>
              <w:softHyphen/>
              <w:t>های فرعی و همچنین بادبزن مرکزی انتخاب شد. همچنین شبکه تهویه معدن توسط نرم</w:t>
            </w:r>
            <w:r w:rsidRPr="00B6465E">
              <w:rPr>
                <w:rFonts w:cs="B Nazanin" w:hint="cs"/>
                <w:sz w:val="18"/>
                <w:rtl/>
                <w:lang w:bidi="fa-IR"/>
              </w:rPr>
              <w:softHyphen/>
              <w:t xml:space="preserve">افزار </w:t>
            </w:r>
            <w:r w:rsidRPr="007218E2">
              <w:rPr>
                <w:rFonts w:asciiTheme="majorBidi" w:hAnsiTheme="majorBidi" w:cstheme="majorBidi"/>
                <w:sz w:val="18"/>
              </w:rPr>
              <w:t>VENTSIM</w:t>
            </w:r>
            <w:r w:rsidRPr="00B6465E">
              <w:rPr>
                <w:rFonts w:cs="B Nazanin" w:hint="cs"/>
                <w:sz w:val="18"/>
                <w:rtl/>
                <w:lang w:bidi="fa-IR"/>
              </w:rPr>
              <w:t xml:space="preserve"> مورد تحلیل و بررسی قرار گرفت که نتایج حاصل از شبیه</w:t>
            </w:r>
            <w:r w:rsidRPr="00B6465E">
              <w:rPr>
                <w:rFonts w:cs="B Nazanin" w:hint="cs"/>
                <w:sz w:val="18"/>
                <w:rtl/>
                <w:lang w:bidi="fa-IR"/>
              </w:rPr>
              <w:softHyphen/>
              <w:t>سازی و تحلیل دستی به صورت قابل قبولی همخوانی دارند.</w:t>
            </w:r>
          </w:p>
          <w:p w:rsidR="0015091A" w:rsidRPr="00CB2C73" w:rsidRDefault="0015091A" w:rsidP="004851C2">
            <w:pPr>
              <w:bidi/>
              <w:mirrorIndents/>
              <w:jc w:val="lowKashida"/>
              <w:rPr>
                <w:rFonts w:cs="B Nazanin"/>
                <w:sz w:val="18"/>
                <w:rtl/>
              </w:rPr>
            </w:pPr>
          </w:p>
        </w:tc>
        <w:tc>
          <w:tcPr>
            <w:tcW w:w="865" w:type="pct"/>
            <w:shd w:val="clear" w:color="auto" w:fill="auto"/>
            <w:vAlign w:val="center"/>
          </w:tcPr>
          <w:p w:rsidR="0015091A" w:rsidRDefault="0015091A" w:rsidP="004851C2">
            <w:pPr>
              <w:bidi/>
              <w:mirrorIndents/>
              <w:jc w:val="center"/>
              <w:rPr>
                <w:rFonts w:cs="B Nazanin"/>
                <w:sz w:val="18"/>
                <w:rtl/>
                <w:lang w:bidi="fa-IR"/>
              </w:rPr>
            </w:pPr>
            <w:r w:rsidRPr="00B6465E">
              <w:rPr>
                <w:rFonts w:cs="B Nazanin" w:hint="cs"/>
                <w:sz w:val="18"/>
                <w:rtl/>
              </w:rPr>
              <w:t xml:space="preserve">طراحی سیستم </w:t>
            </w:r>
            <w:r w:rsidRPr="00B6465E">
              <w:rPr>
                <w:rFonts w:cs="B Nazanin" w:hint="cs"/>
                <w:sz w:val="18"/>
                <w:rtl/>
                <w:lang w:bidi="fa-IR"/>
              </w:rPr>
              <w:t xml:space="preserve">تهویه </w:t>
            </w:r>
          </w:p>
          <w:p w:rsidR="0015091A" w:rsidRDefault="0015091A" w:rsidP="004851C2">
            <w:pPr>
              <w:bidi/>
              <w:mirrorIndents/>
              <w:jc w:val="center"/>
              <w:rPr>
                <w:rFonts w:cs="B Nazanin"/>
                <w:sz w:val="18"/>
                <w:rtl/>
                <w:lang w:bidi="fa-IR"/>
              </w:rPr>
            </w:pPr>
            <w:r w:rsidRPr="00B6465E">
              <w:rPr>
                <w:rFonts w:cs="B Nazanin" w:hint="cs"/>
                <w:sz w:val="18"/>
                <w:rtl/>
                <w:lang w:bidi="fa-IR"/>
              </w:rPr>
              <w:t>نرم‌افزار</w:t>
            </w:r>
            <w:r w:rsidRPr="00B6465E">
              <w:rPr>
                <w:rFonts w:cs="B Nazanin"/>
                <w:sz w:val="18"/>
                <w:rtl/>
                <w:lang w:bidi="fa-IR"/>
              </w:rPr>
              <w:t xml:space="preserve"> </w:t>
            </w:r>
            <w:r w:rsidRPr="007218E2">
              <w:rPr>
                <w:rFonts w:asciiTheme="majorBidi" w:hAnsiTheme="majorBidi" w:cstheme="majorBidi"/>
                <w:sz w:val="18"/>
              </w:rPr>
              <w:t>VENTSIM</w:t>
            </w:r>
          </w:p>
          <w:p w:rsidR="0015091A" w:rsidRPr="00CB2C73" w:rsidRDefault="0015091A" w:rsidP="004851C2">
            <w:pPr>
              <w:bidi/>
              <w:mirrorIndents/>
              <w:jc w:val="center"/>
              <w:rPr>
                <w:rFonts w:cs="B Nazanin"/>
                <w:sz w:val="18"/>
                <w:rtl/>
              </w:rPr>
            </w:pPr>
            <w:r>
              <w:rPr>
                <w:rFonts w:cs="B Nazanin" w:hint="cs"/>
                <w:sz w:val="18"/>
                <w:rtl/>
                <w:lang w:bidi="fa-IR"/>
              </w:rPr>
              <w:t>معدن پروده طبس</w:t>
            </w:r>
            <w:r>
              <w:rPr>
                <w:rFonts w:cs="B Nazanin" w:hint="cs"/>
                <w:sz w:val="18"/>
                <w:rtl/>
              </w:rPr>
              <w:t xml:space="preserve"> </w:t>
            </w:r>
          </w:p>
          <w:p w:rsidR="0015091A" w:rsidRPr="00CB2C73" w:rsidRDefault="0015091A" w:rsidP="004851C2">
            <w:pPr>
              <w:mirrorIndents/>
              <w:rPr>
                <w:rFonts w:cs="B Nazanin"/>
                <w:b/>
                <w:bCs/>
                <w:sz w:val="18"/>
                <w:rtl/>
              </w:rPr>
            </w:pPr>
          </w:p>
        </w:tc>
      </w:tr>
    </w:tbl>
    <w:p w:rsidR="00110CA6" w:rsidRDefault="00905563"/>
    <w:sectPr w:rsidR="00110CA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563" w:rsidRDefault="00905563" w:rsidP="0015091A">
      <w:pPr>
        <w:spacing w:after="0" w:line="240" w:lineRule="auto"/>
      </w:pPr>
      <w:r>
        <w:separator/>
      </w:r>
    </w:p>
  </w:endnote>
  <w:endnote w:type="continuationSeparator" w:id="0">
    <w:p w:rsidR="00905563" w:rsidRDefault="00905563" w:rsidP="00150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563" w:rsidRDefault="00905563" w:rsidP="0015091A">
      <w:pPr>
        <w:spacing w:after="0" w:line="240" w:lineRule="auto"/>
      </w:pPr>
      <w:r>
        <w:separator/>
      </w:r>
    </w:p>
  </w:footnote>
  <w:footnote w:type="continuationSeparator" w:id="0">
    <w:p w:rsidR="00905563" w:rsidRDefault="00905563" w:rsidP="001509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91A" w:rsidRDefault="0015091A" w:rsidP="0015091A">
    <w:pPr>
      <w:pStyle w:val="Header"/>
      <w:tabs>
        <w:tab w:val="clear" w:pos="4680"/>
        <w:tab w:val="clear" w:pos="9360"/>
        <w:tab w:val="left" w:pos="6135"/>
        <w:tab w:val="left" w:pos="6663"/>
      </w:tabs>
    </w:pPr>
    <w:r>
      <w:tab/>
    </w:r>
  </w:p>
  <w:tbl>
    <w:tblPr>
      <w:tblpPr w:leftFromText="180" w:rightFromText="180" w:vertAnchor="text" w:horzAnchor="margin" w:tblpXSpec="center" w:tblpY="-913"/>
      <w:bidiVisual/>
      <w:tblW w:w="10206" w:type="dxa"/>
      <w:tblLayout w:type="fixed"/>
      <w:tblLook w:val="04A0" w:firstRow="1" w:lastRow="0" w:firstColumn="1" w:lastColumn="0" w:noHBand="0" w:noVBand="1"/>
    </w:tblPr>
    <w:tblGrid>
      <w:gridCol w:w="1275"/>
      <w:gridCol w:w="1418"/>
      <w:gridCol w:w="5103"/>
      <w:gridCol w:w="1276"/>
      <w:gridCol w:w="1134"/>
    </w:tblGrid>
    <w:tr w:rsidR="0015091A" w:rsidRPr="00ED1845" w:rsidTr="004851C2">
      <w:trPr>
        <w:trHeight w:val="780"/>
      </w:trPr>
      <w:tc>
        <w:tcPr>
          <w:tcW w:w="1275" w:type="dxa"/>
        </w:tcPr>
        <w:p w:rsidR="0015091A" w:rsidRPr="00741489" w:rsidRDefault="0015091A" w:rsidP="0015091A">
          <w:pPr>
            <w:tabs>
              <w:tab w:val="left" w:pos="3593"/>
              <w:tab w:val="center" w:pos="5179"/>
            </w:tabs>
            <w:bidi/>
            <w:spacing w:after="0" w:line="240" w:lineRule="auto"/>
            <w:jc w:val="center"/>
            <w:rPr>
              <w:noProof/>
            </w:rPr>
          </w:pPr>
          <w:r w:rsidRPr="00741489">
            <w:rPr>
              <w:noProof/>
            </w:rPr>
            <w:drawing>
              <wp:inline distT="0" distB="0" distL="0" distR="0" wp14:anchorId="0B5F30D9" wp14:editId="5DE1AFCD">
                <wp:extent cx="695325" cy="721756"/>
                <wp:effectExtent l="0" t="0" r="0" b="2540"/>
                <wp:docPr id="18" name="Picture 18" descr="I:\The Center of Excellence in Mining Engineering (CEME)\LOGO\LOGO\C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he Center of Excellence in Mining Engineering (CEME)\LOGO\LOGO\CEME.jpg"/>
                        <pic:cNvPicPr>
                          <a:picLocks noChangeAspect="1" noChangeArrowheads="1"/>
                        </pic:cNvPicPr>
                      </pic:nvPicPr>
                      <pic:blipFill>
                        <a:blip r:embed="rId1" cstate="print">
                          <a:clrChange>
                            <a:clrFrom>
                              <a:srgbClr val="FFFEFD"/>
                            </a:clrFrom>
                            <a:clrTo>
                              <a:srgbClr val="FFFEFD">
                                <a:alpha val="0"/>
                              </a:srgbClr>
                            </a:clrTo>
                          </a:clrChange>
                          <a:extLst>
                            <a:ext uri="{28A0092B-C50C-407E-A947-70E740481C1C}">
                              <a14:useLocalDpi xmlns:a14="http://schemas.microsoft.com/office/drawing/2010/main" val="0"/>
                            </a:ext>
                          </a:extLst>
                        </a:blip>
                        <a:srcRect/>
                        <a:stretch>
                          <a:fillRect/>
                        </a:stretch>
                      </pic:blipFill>
                      <pic:spPr bwMode="auto">
                        <a:xfrm>
                          <a:off x="0" y="0"/>
                          <a:ext cx="696316" cy="722785"/>
                        </a:xfrm>
                        <a:prstGeom prst="rect">
                          <a:avLst/>
                        </a:prstGeom>
                        <a:noFill/>
                        <a:ln>
                          <a:noFill/>
                        </a:ln>
                      </pic:spPr>
                    </pic:pic>
                  </a:graphicData>
                </a:graphic>
              </wp:inline>
            </w:drawing>
          </w:r>
        </w:p>
      </w:tc>
      <w:tc>
        <w:tcPr>
          <w:tcW w:w="1418" w:type="dxa"/>
        </w:tcPr>
        <w:tbl>
          <w:tblPr>
            <w:tblStyle w:val="TableGrid"/>
            <w:tblpPr w:leftFromText="180" w:rightFromText="180" w:vertAnchor="text" w:horzAnchor="margin" w:tblpY="-167"/>
            <w:tblOverlap w:val="never"/>
            <w:bidiVisual/>
            <w:tblW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tblGrid>
          <w:tr w:rsidR="0015091A" w:rsidTr="004851C2">
            <w:trPr>
              <w:trHeight w:val="1182"/>
            </w:trPr>
            <w:tc>
              <w:tcPr>
                <w:tcW w:w="1701" w:type="dxa"/>
                <w:vAlign w:val="center"/>
              </w:tcPr>
              <w:p w:rsidR="0015091A" w:rsidRDefault="0015091A" w:rsidP="0015091A">
                <w:pPr>
                  <w:jc w:val="center"/>
                  <w:rPr>
                    <w:rFonts w:asciiTheme="majorBidi" w:hAnsiTheme="majorBidi" w:cstheme="majorBidi"/>
                    <w:b/>
                    <w:bCs/>
                  </w:rPr>
                </w:pPr>
                <w:r>
                  <w:rPr>
                    <w:noProof/>
                  </w:rPr>
                  <w:drawing>
                    <wp:inline distT="0" distB="0" distL="0" distR="0" wp14:anchorId="36222370" wp14:editId="56B662F7">
                      <wp:extent cx="561975" cy="6191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61975" cy="619125"/>
                              </a:xfrm>
                              <a:prstGeom prst="rect">
                                <a:avLst/>
                              </a:prstGeom>
                            </pic:spPr>
                          </pic:pic>
                        </a:graphicData>
                      </a:graphic>
                    </wp:inline>
                  </w:drawing>
                </w:r>
              </w:p>
              <w:p w:rsidR="0015091A" w:rsidRDefault="0015091A" w:rsidP="0015091A">
                <w:pPr>
                  <w:jc w:val="center"/>
                  <w:rPr>
                    <w:rFonts w:asciiTheme="majorBidi" w:hAnsiTheme="majorBidi" w:cstheme="majorBidi"/>
                    <w:b/>
                    <w:bCs/>
                  </w:rPr>
                </w:pPr>
                <w:proofErr w:type="spellStart"/>
                <w:r w:rsidRPr="00DB5375">
                  <w:rPr>
                    <w:rFonts w:asciiTheme="majorBidi" w:hAnsiTheme="majorBidi" w:cstheme="majorBidi"/>
                    <w:b/>
                    <w:bCs/>
                  </w:rPr>
                  <w:t>nicc</w:t>
                </w:r>
                <w:proofErr w:type="spellEnd"/>
                <w:r w:rsidRPr="00DB5375">
                  <w:rPr>
                    <w:rFonts w:asciiTheme="majorBidi" w:hAnsiTheme="majorBidi" w:cstheme="majorBidi"/>
                    <w:b/>
                    <w:bCs/>
                  </w:rPr>
                  <w:t xml:space="preserve"> 2020</w:t>
                </w:r>
              </w:p>
              <w:p w:rsidR="0015091A" w:rsidRPr="00DB5375" w:rsidRDefault="0015091A" w:rsidP="0015091A">
                <w:pPr>
                  <w:jc w:val="center"/>
                  <w:rPr>
                    <w:rFonts w:asciiTheme="majorBidi" w:hAnsiTheme="majorBidi" w:cstheme="majorBidi"/>
                    <w:b/>
                    <w:bCs/>
                    <w:rtl/>
                  </w:rPr>
                </w:pPr>
              </w:p>
            </w:tc>
          </w:tr>
        </w:tbl>
        <w:p w:rsidR="0015091A" w:rsidRPr="00ED1845" w:rsidRDefault="0015091A" w:rsidP="0015091A">
          <w:pPr>
            <w:bidi/>
            <w:jc w:val="center"/>
            <w:rPr>
              <w:rFonts w:ascii="IranNastaliq" w:eastAsia="Calibri" w:hAnsi="IranNastaliq" w:cs="IranNastaliq"/>
              <w:b/>
              <w:bCs/>
              <w:sz w:val="36"/>
              <w:szCs w:val="36"/>
              <w:rtl/>
            </w:rPr>
          </w:pPr>
        </w:p>
      </w:tc>
      <w:tc>
        <w:tcPr>
          <w:tcW w:w="5103" w:type="dxa"/>
          <w:vAlign w:val="center"/>
        </w:tcPr>
        <w:p w:rsidR="0015091A" w:rsidRDefault="0015091A" w:rsidP="0015091A">
          <w:pPr>
            <w:tabs>
              <w:tab w:val="left" w:pos="3593"/>
              <w:tab w:val="center" w:pos="5179"/>
            </w:tabs>
            <w:bidi/>
            <w:spacing w:after="0" w:line="240" w:lineRule="auto"/>
            <w:jc w:val="center"/>
            <w:rPr>
              <w:rFonts w:ascii="IranNastaliq" w:eastAsia="Calibri" w:hAnsi="IranNastaliq" w:cs="IranNastaliq"/>
              <w:b/>
              <w:bCs/>
              <w:sz w:val="48"/>
              <w:szCs w:val="48"/>
              <w:rtl/>
            </w:rPr>
          </w:pPr>
          <w:r w:rsidRPr="00ED1845">
            <w:rPr>
              <w:rFonts w:ascii="IranNastaliq" w:eastAsia="Calibri" w:hAnsi="IranNastaliq" w:cs="IranNastaliq"/>
              <w:b/>
              <w:bCs/>
              <w:sz w:val="48"/>
              <w:szCs w:val="48"/>
              <w:rtl/>
            </w:rPr>
            <w:t>پ</w:t>
          </w:r>
          <w:r w:rsidRPr="00ED1845">
            <w:rPr>
              <w:rFonts w:ascii="IranNastaliq" w:eastAsia="Calibri" w:hAnsi="IranNastaliq" w:cs="IranNastaliq" w:hint="cs"/>
              <w:b/>
              <w:bCs/>
              <w:sz w:val="48"/>
              <w:szCs w:val="48"/>
              <w:rtl/>
              <w:lang w:bidi="fa-IR"/>
            </w:rPr>
            <w:t>نج</w:t>
          </w:r>
          <w:r w:rsidRPr="00ED1845">
            <w:rPr>
              <w:rFonts w:ascii="IranNastaliq" w:eastAsia="Calibri" w:hAnsi="IranNastaliq" w:cs="IranNastaliq"/>
              <w:b/>
              <w:bCs/>
              <w:sz w:val="48"/>
              <w:szCs w:val="48"/>
              <w:rtl/>
            </w:rPr>
            <w:t>مین کنگره ملی زغالسنگ ایران</w:t>
          </w:r>
        </w:p>
        <w:p w:rsidR="0015091A" w:rsidRPr="00ED1845" w:rsidRDefault="0015091A" w:rsidP="0015091A">
          <w:pPr>
            <w:tabs>
              <w:tab w:val="left" w:pos="3593"/>
              <w:tab w:val="center" w:pos="5179"/>
            </w:tabs>
            <w:bidi/>
            <w:spacing w:after="0" w:line="240" w:lineRule="auto"/>
            <w:jc w:val="center"/>
            <w:rPr>
              <w:rFonts w:ascii="IranNastaliq" w:eastAsia="Calibri" w:hAnsi="IranNastaliq" w:cs="IranNastaliq"/>
              <w:b/>
              <w:bCs/>
              <w:sz w:val="36"/>
              <w:szCs w:val="36"/>
              <w:rtl/>
            </w:rPr>
          </w:pPr>
          <w:r w:rsidRPr="00921A4C">
            <w:rPr>
              <w:rFonts w:ascii="IranNastaliq" w:eastAsia="Calibri" w:hAnsi="IranNastaliq" w:cs="B Titr" w:hint="cs"/>
              <w:b/>
              <w:bCs/>
              <w:sz w:val="24"/>
              <w:szCs w:val="24"/>
              <w:rtl/>
              <w:lang w:bidi="fa-IR"/>
            </w:rPr>
            <w:t>1</w:t>
          </w:r>
          <w:r w:rsidRPr="00ED1845">
            <w:rPr>
              <w:rFonts w:ascii="IranNastaliq" w:eastAsia="Calibri" w:hAnsi="IranNastaliq" w:cs="B Titr" w:hint="cs"/>
              <w:b/>
              <w:bCs/>
              <w:sz w:val="24"/>
              <w:szCs w:val="24"/>
              <w:rtl/>
            </w:rPr>
            <w:t xml:space="preserve"> </w:t>
          </w:r>
          <w:r w:rsidRPr="00ED1845">
            <w:rPr>
              <w:rFonts w:ascii="IranNastaliq" w:eastAsia="Calibri" w:hAnsi="IranNastaliq" w:cs="B Titr" w:hint="cs"/>
              <w:b/>
              <w:bCs/>
              <w:sz w:val="24"/>
              <w:szCs w:val="24"/>
              <w:rtl/>
              <w:lang w:bidi="fa-IR"/>
            </w:rPr>
            <w:t>و</w:t>
          </w:r>
          <w:r w:rsidRPr="00ED1845">
            <w:rPr>
              <w:rFonts w:ascii="IranNastaliq" w:eastAsia="Calibri" w:hAnsi="IranNastaliq" w:cs="B Titr" w:hint="cs"/>
              <w:b/>
              <w:bCs/>
              <w:sz w:val="24"/>
              <w:szCs w:val="24"/>
              <w:rtl/>
            </w:rPr>
            <w:t xml:space="preserve"> 2 تیرماه 1399</w:t>
          </w:r>
        </w:p>
      </w:tc>
      <w:tc>
        <w:tcPr>
          <w:tcW w:w="1276" w:type="dxa"/>
        </w:tcPr>
        <w:p w:rsidR="0015091A" w:rsidRPr="00ED1845" w:rsidRDefault="0015091A" w:rsidP="0015091A">
          <w:pPr>
            <w:tabs>
              <w:tab w:val="left" w:pos="3593"/>
              <w:tab w:val="center" w:pos="5179"/>
            </w:tabs>
            <w:bidi/>
            <w:spacing w:after="0" w:line="240" w:lineRule="auto"/>
            <w:jc w:val="center"/>
            <w:rPr>
              <w:rFonts w:ascii="IranNastaliq" w:eastAsia="Calibri" w:hAnsi="IranNastaliq" w:cs="IranNastaliq"/>
              <w:b/>
              <w:bCs/>
              <w:sz w:val="36"/>
              <w:szCs w:val="36"/>
              <w:rtl/>
            </w:rPr>
          </w:pPr>
          <w:r w:rsidRPr="00EB0D98">
            <w:rPr>
              <w:noProof/>
            </w:rPr>
            <w:drawing>
              <wp:inline distT="0" distB="0" distL="0" distR="0" wp14:anchorId="2DFF916C" wp14:editId="407AA118">
                <wp:extent cx="676275" cy="7905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6275" cy="790575"/>
                        </a:xfrm>
                        <a:prstGeom prst="rect">
                          <a:avLst/>
                        </a:prstGeom>
                        <a:noFill/>
                        <a:ln>
                          <a:noFill/>
                        </a:ln>
                      </pic:spPr>
                    </pic:pic>
                  </a:graphicData>
                </a:graphic>
              </wp:inline>
            </w:drawing>
          </w:r>
        </w:p>
      </w:tc>
      <w:tc>
        <w:tcPr>
          <w:tcW w:w="1134" w:type="dxa"/>
        </w:tcPr>
        <w:p w:rsidR="0015091A" w:rsidRPr="00ED1845" w:rsidRDefault="0015091A" w:rsidP="0015091A">
          <w:pPr>
            <w:tabs>
              <w:tab w:val="left" w:pos="3593"/>
              <w:tab w:val="center" w:pos="5179"/>
            </w:tabs>
            <w:bidi/>
            <w:spacing w:after="0" w:line="240" w:lineRule="auto"/>
            <w:rPr>
              <w:rFonts w:ascii="IranNastaliq" w:eastAsia="Calibri" w:hAnsi="IranNastaliq" w:cs="IranNastaliq"/>
              <w:b/>
              <w:bCs/>
              <w:sz w:val="36"/>
              <w:szCs w:val="36"/>
              <w:rtl/>
            </w:rPr>
          </w:pPr>
          <w:r w:rsidRPr="00EB0D98">
            <w:rPr>
              <w:rFonts w:cs="B Nazanin"/>
              <w:noProof/>
            </w:rPr>
            <w:drawing>
              <wp:inline distT="0" distB="0" distL="0" distR="0" wp14:anchorId="3B82ECC9" wp14:editId="28C2B768">
                <wp:extent cx="590459" cy="775970"/>
                <wp:effectExtent l="0" t="0" r="635"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clrChange>
                            <a:clrFrom>
                              <a:srgbClr val="FFFFFF"/>
                            </a:clrFrom>
                            <a:clrTo>
                              <a:srgbClr val="FFFFFF">
                                <a:alpha val="0"/>
                              </a:srgbClr>
                            </a:clrTo>
                          </a:clrChange>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590459" cy="775970"/>
                        </a:xfrm>
                        <a:prstGeom prst="rect">
                          <a:avLst/>
                        </a:prstGeom>
                        <a:noFill/>
                      </pic:spPr>
                    </pic:pic>
                  </a:graphicData>
                </a:graphic>
              </wp:inline>
            </w:drawing>
          </w:r>
        </w:p>
      </w:tc>
    </w:tr>
  </w:tbl>
  <w:p w:rsidR="0015091A" w:rsidRDefault="0015091A" w:rsidP="0015091A">
    <w:pPr>
      <w:tabs>
        <w:tab w:val="left" w:pos="3593"/>
        <w:tab w:val="center" w:pos="5179"/>
      </w:tabs>
      <w:bidi/>
      <w:spacing w:after="0" w:line="240" w:lineRule="auto"/>
    </w:pPr>
  </w:p>
  <w:p w:rsidR="0015091A" w:rsidRDefault="0015091A" w:rsidP="0015091A">
    <w:pPr>
      <w:pStyle w:val="Header"/>
      <w:tabs>
        <w:tab w:val="clear" w:pos="4680"/>
        <w:tab w:val="clear" w:pos="9360"/>
        <w:tab w:val="left" w:pos="6135"/>
        <w:tab w:val="left" w:pos="6663"/>
      </w:tabs>
    </w:pPr>
    <w:r>
      <w:tab/>
    </w:r>
  </w:p>
  <w:p w:rsidR="0015091A" w:rsidRPr="0015091A" w:rsidRDefault="0015091A" w:rsidP="001509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D7D"/>
    <w:rsid w:val="0015091A"/>
    <w:rsid w:val="00775D7D"/>
    <w:rsid w:val="00905563"/>
    <w:rsid w:val="00EF4D14"/>
    <w:rsid w:val="00FE65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C98BE-F377-4855-97E1-0EBF971DA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09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91A"/>
  </w:style>
  <w:style w:type="paragraph" w:styleId="Footer">
    <w:name w:val="footer"/>
    <w:basedOn w:val="Normal"/>
    <w:link w:val="FooterChar"/>
    <w:uiPriority w:val="99"/>
    <w:unhideWhenUsed/>
    <w:rsid w:val="001509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91A"/>
  </w:style>
  <w:style w:type="table" w:styleId="TableGrid">
    <w:name w:val="Table Grid"/>
    <w:basedOn w:val="TableNormal"/>
    <w:uiPriority w:val="39"/>
    <w:rsid w:val="0015091A"/>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1044</Characters>
  <Application>Microsoft Office Word</Application>
  <DocSecurity>0</DocSecurity>
  <Lines>8</Lines>
  <Paragraphs>2</Paragraphs>
  <ScaleCrop>false</ScaleCrop>
  <Company/>
  <LinksUpToDate>false</LinksUpToDate>
  <CharactersWithSpaces>1225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rayanpardaz</dc:creator>
  <cp:keywords/>
  <dc:description/>
  <cp:lastModifiedBy>rayanpardaz</cp:lastModifiedBy>
  <cp:revision>2</cp:revision>
  <dcterms:created xsi:type="dcterms:W3CDTF">2020-09-14T08:14:00Z</dcterms:created>
  <dcterms:modified xsi:type="dcterms:W3CDTF">2020-09-14T08:15:00Z</dcterms:modified>
</cp:coreProperties>
</file>